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3CF" w:rsidRPr="000E0401" w:rsidRDefault="000E0401" w:rsidP="00F24772">
      <w:pPr>
        <w:jc w:val="both"/>
        <w:rPr>
          <w:rFonts w:ascii="Tahoma" w:hAnsi="Tahoma" w:cs="Tahoma"/>
          <w:b/>
          <w:sz w:val="24"/>
          <w:szCs w:val="24"/>
          <w:u w:val="single"/>
        </w:rPr>
      </w:pPr>
      <w:r w:rsidRPr="000E0401">
        <w:rPr>
          <w:rFonts w:ascii="Tahoma" w:hAnsi="Tahoma" w:cs="Tahoma"/>
          <w:b/>
          <w:sz w:val="24"/>
          <w:szCs w:val="24"/>
          <w:u w:val="single"/>
        </w:rPr>
        <w:t>ORDER</w:t>
      </w:r>
    </w:p>
    <w:p w:rsidR="00F24772" w:rsidRPr="00F24772" w:rsidRDefault="00F24772" w:rsidP="00F24772">
      <w:pPr>
        <w:jc w:val="both"/>
        <w:rPr>
          <w:rFonts w:ascii="Tahoma" w:hAnsi="Tahoma" w:cs="Tahoma"/>
          <w:sz w:val="24"/>
          <w:szCs w:val="24"/>
        </w:rPr>
      </w:pPr>
      <w:r w:rsidRPr="00F24772">
        <w:rPr>
          <w:rFonts w:ascii="Tahoma" w:hAnsi="Tahoma" w:cs="Tahoma"/>
          <w:sz w:val="24"/>
          <w:szCs w:val="24"/>
        </w:rPr>
        <w:t>In exercise of powers conferred by Board of Directors of Punjab Government Servants Housing Foundation, procedure given here-under, for transfer of housing and commercial units in Punjab Government Servants Housing Foundation schemes is directed to be followed with immediate effect and till further orders.</w:t>
      </w:r>
    </w:p>
    <w:p w:rsidR="00F24772" w:rsidRPr="00F24772" w:rsidRDefault="00F24772" w:rsidP="00AB03CF">
      <w:pPr>
        <w:pStyle w:val="ListParagraph"/>
        <w:numPr>
          <w:ilvl w:val="0"/>
          <w:numId w:val="1"/>
        </w:numPr>
        <w:ind w:hanging="720"/>
        <w:jc w:val="both"/>
        <w:rPr>
          <w:rFonts w:ascii="Tahoma" w:hAnsi="Tahoma" w:cs="Tahoma"/>
          <w:sz w:val="24"/>
          <w:szCs w:val="24"/>
        </w:rPr>
      </w:pPr>
      <w:r w:rsidRPr="00F24772">
        <w:rPr>
          <w:rFonts w:ascii="Tahoma" w:hAnsi="Tahoma" w:cs="Tahoma"/>
          <w:sz w:val="24"/>
          <w:szCs w:val="24"/>
        </w:rPr>
        <w:t>For all types of transfer of title prior approval of the PGSHF will be necessary which will be applied on a prescribed form obtainable from PGSHF.</w:t>
      </w:r>
    </w:p>
    <w:p w:rsidR="00F24772" w:rsidRPr="00F24772" w:rsidRDefault="00F24772" w:rsidP="00AB03CF">
      <w:pPr>
        <w:pStyle w:val="ListParagraph"/>
        <w:numPr>
          <w:ilvl w:val="0"/>
          <w:numId w:val="1"/>
        </w:numPr>
        <w:ind w:hanging="720"/>
        <w:jc w:val="both"/>
        <w:rPr>
          <w:rFonts w:ascii="Tahoma" w:hAnsi="Tahoma" w:cs="Tahoma"/>
          <w:sz w:val="24"/>
          <w:szCs w:val="24"/>
        </w:rPr>
      </w:pPr>
      <w:r w:rsidRPr="00F24772">
        <w:rPr>
          <w:rFonts w:ascii="Tahoma" w:hAnsi="Tahoma" w:cs="Tahoma"/>
          <w:sz w:val="24"/>
          <w:szCs w:val="24"/>
        </w:rPr>
        <w:t>PGSHF through its Board of Directors may fix, increase or decrease a transfer fee for transfer of title of allotted house &amp; commercial units to subsequent buyers. The Board of Directors of PGSHF has fixed following transfer fees:</w:t>
      </w:r>
    </w:p>
    <w:tbl>
      <w:tblPr>
        <w:tblStyle w:val="TableGrid"/>
        <w:tblW w:w="0" w:type="auto"/>
        <w:tblInd w:w="918" w:type="dxa"/>
        <w:tblLayout w:type="fixed"/>
        <w:tblLook w:val="04A0"/>
      </w:tblPr>
      <w:tblGrid>
        <w:gridCol w:w="3060"/>
        <w:gridCol w:w="1266"/>
        <w:gridCol w:w="1075"/>
        <w:gridCol w:w="1080"/>
        <w:gridCol w:w="1080"/>
        <w:gridCol w:w="1097"/>
      </w:tblGrid>
      <w:tr w:rsidR="00F24772" w:rsidRPr="00F24772" w:rsidTr="006142A1">
        <w:tc>
          <w:tcPr>
            <w:tcW w:w="3060" w:type="dxa"/>
            <w:vMerge w:val="restart"/>
          </w:tcPr>
          <w:p w:rsidR="00F24772" w:rsidRPr="00AB03CF" w:rsidRDefault="00F24772" w:rsidP="00AB03CF">
            <w:pPr>
              <w:jc w:val="both"/>
              <w:rPr>
                <w:rFonts w:ascii="Tahoma" w:hAnsi="Tahoma" w:cs="Tahoma"/>
                <w:b/>
                <w:sz w:val="24"/>
                <w:szCs w:val="24"/>
              </w:rPr>
            </w:pPr>
            <w:r w:rsidRPr="00AB03CF">
              <w:rPr>
                <w:rFonts w:ascii="Tahoma" w:hAnsi="Tahoma" w:cs="Tahoma"/>
                <w:b/>
                <w:sz w:val="24"/>
                <w:szCs w:val="24"/>
              </w:rPr>
              <w:t>TRANSACTION</w:t>
            </w:r>
          </w:p>
        </w:tc>
        <w:tc>
          <w:tcPr>
            <w:tcW w:w="5598" w:type="dxa"/>
            <w:gridSpan w:val="5"/>
          </w:tcPr>
          <w:p w:rsidR="00F24772" w:rsidRPr="00AB03CF" w:rsidRDefault="00F24772" w:rsidP="00AB03CF">
            <w:pPr>
              <w:jc w:val="center"/>
              <w:rPr>
                <w:rFonts w:ascii="Tahoma" w:hAnsi="Tahoma" w:cs="Tahoma"/>
                <w:b/>
                <w:sz w:val="24"/>
                <w:szCs w:val="24"/>
              </w:rPr>
            </w:pPr>
            <w:r w:rsidRPr="00AB03CF">
              <w:rPr>
                <w:rFonts w:ascii="Tahoma" w:hAnsi="Tahoma" w:cs="Tahoma"/>
                <w:b/>
                <w:sz w:val="24"/>
                <w:szCs w:val="24"/>
              </w:rPr>
              <w:t>FEE IMPOSED</w:t>
            </w:r>
          </w:p>
          <w:p w:rsidR="00F24772" w:rsidRPr="00AB03CF" w:rsidRDefault="00F24772" w:rsidP="00AB03CF">
            <w:pPr>
              <w:jc w:val="center"/>
              <w:rPr>
                <w:rFonts w:ascii="Tahoma" w:hAnsi="Tahoma" w:cs="Tahoma"/>
                <w:b/>
                <w:sz w:val="24"/>
                <w:szCs w:val="24"/>
              </w:rPr>
            </w:pPr>
            <w:r w:rsidRPr="00AB03CF">
              <w:rPr>
                <w:rFonts w:ascii="Tahoma" w:hAnsi="Tahoma" w:cs="Tahoma"/>
                <w:b/>
                <w:sz w:val="24"/>
                <w:szCs w:val="24"/>
              </w:rPr>
              <w:t>(Amount in Rupees)</w:t>
            </w:r>
          </w:p>
        </w:tc>
      </w:tr>
      <w:tr w:rsidR="00F24772" w:rsidRPr="00F24772" w:rsidTr="006142A1">
        <w:tc>
          <w:tcPr>
            <w:tcW w:w="3060" w:type="dxa"/>
            <w:vMerge/>
          </w:tcPr>
          <w:p w:rsidR="00F24772" w:rsidRPr="00AB03CF" w:rsidRDefault="00F24772" w:rsidP="00AB03CF">
            <w:pPr>
              <w:jc w:val="both"/>
              <w:rPr>
                <w:rFonts w:ascii="Tahoma" w:hAnsi="Tahoma" w:cs="Tahoma"/>
                <w:sz w:val="24"/>
                <w:szCs w:val="24"/>
              </w:rPr>
            </w:pPr>
          </w:p>
        </w:tc>
        <w:tc>
          <w:tcPr>
            <w:tcW w:w="1266" w:type="dxa"/>
          </w:tcPr>
          <w:p w:rsidR="00F24772" w:rsidRPr="00AB03CF" w:rsidRDefault="00F24772" w:rsidP="00AB03CF">
            <w:pPr>
              <w:jc w:val="both"/>
              <w:rPr>
                <w:rFonts w:ascii="Tahoma" w:hAnsi="Tahoma" w:cs="Tahoma"/>
                <w:sz w:val="24"/>
                <w:szCs w:val="24"/>
              </w:rPr>
            </w:pPr>
            <w:r w:rsidRPr="00AB03CF">
              <w:rPr>
                <w:rFonts w:ascii="Tahoma" w:hAnsi="Tahoma" w:cs="Tahoma"/>
                <w:sz w:val="24"/>
                <w:szCs w:val="24"/>
              </w:rPr>
              <w:t>Per Marla</w:t>
            </w:r>
          </w:p>
        </w:tc>
        <w:tc>
          <w:tcPr>
            <w:tcW w:w="1075" w:type="dxa"/>
          </w:tcPr>
          <w:p w:rsidR="00F24772" w:rsidRPr="00AB03CF" w:rsidRDefault="00F24772" w:rsidP="00AB03CF">
            <w:pPr>
              <w:jc w:val="both"/>
              <w:rPr>
                <w:rFonts w:ascii="Tahoma" w:hAnsi="Tahoma" w:cs="Tahoma"/>
                <w:sz w:val="24"/>
                <w:szCs w:val="24"/>
              </w:rPr>
            </w:pPr>
            <w:r w:rsidRPr="00AB03CF">
              <w:rPr>
                <w:rFonts w:ascii="Tahoma" w:hAnsi="Tahoma" w:cs="Tahoma"/>
                <w:sz w:val="24"/>
                <w:szCs w:val="24"/>
              </w:rPr>
              <w:t>5-Marla</w:t>
            </w:r>
          </w:p>
        </w:tc>
        <w:tc>
          <w:tcPr>
            <w:tcW w:w="1080" w:type="dxa"/>
          </w:tcPr>
          <w:p w:rsidR="00F24772" w:rsidRPr="00AB03CF" w:rsidRDefault="00F24772" w:rsidP="00AB03CF">
            <w:pPr>
              <w:jc w:val="both"/>
              <w:rPr>
                <w:rFonts w:ascii="Tahoma" w:hAnsi="Tahoma" w:cs="Tahoma"/>
                <w:sz w:val="24"/>
                <w:szCs w:val="24"/>
              </w:rPr>
            </w:pPr>
            <w:r w:rsidRPr="00AB03CF">
              <w:rPr>
                <w:rFonts w:ascii="Tahoma" w:hAnsi="Tahoma" w:cs="Tahoma"/>
                <w:sz w:val="24"/>
                <w:szCs w:val="24"/>
              </w:rPr>
              <w:t>7-Marla</w:t>
            </w:r>
          </w:p>
        </w:tc>
        <w:tc>
          <w:tcPr>
            <w:tcW w:w="1080" w:type="dxa"/>
          </w:tcPr>
          <w:p w:rsidR="00F24772" w:rsidRPr="00AB03CF" w:rsidRDefault="00F24772" w:rsidP="00AB03CF">
            <w:pPr>
              <w:jc w:val="both"/>
              <w:rPr>
                <w:rFonts w:ascii="Tahoma" w:hAnsi="Tahoma" w:cs="Tahoma"/>
                <w:sz w:val="24"/>
                <w:szCs w:val="24"/>
              </w:rPr>
            </w:pPr>
            <w:r w:rsidRPr="00AB03CF">
              <w:rPr>
                <w:rFonts w:ascii="Tahoma" w:hAnsi="Tahoma" w:cs="Tahoma"/>
                <w:sz w:val="24"/>
                <w:szCs w:val="24"/>
              </w:rPr>
              <w:t>10-Marla</w:t>
            </w:r>
          </w:p>
        </w:tc>
        <w:tc>
          <w:tcPr>
            <w:tcW w:w="1097" w:type="dxa"/>
          </w:tcPr>
          <w:p w:rsidR="00F24772" w:rsidRPr="00AB03CF" w:rsidRDefault="00F24772" w:rsidP="00AB03CF">
            <w:pPr>
              <w:jc w:val="both"/>
              <w:rPr>
                <w:rFonts w:ascii="Tahoma" w:hAnsi="Tahoma" w:cs="Tahoma"/>
                <w:sz w:val="24"/>
                <w:szCs w:val="24"/>
              </w:rPr>
            </w:pPr>
            <w:r w:rsidRPr="00AB03CF">
              <w:rPr>
                <w:rFonts w:ascii="Tahoma" w:hAnsi="Tahoma" w:cs="Tahoma"/>
                <w:sz w:val="24"/>
                <w:szCs w:val="24"/>
              </w:rPr>
              <w:t xml:space="preserve">01- </w:t>
            </w:r>
            <w:proofErr w:type="spellStart"/>
            <w:r w:rsidRPr="00AB03CF">
              <w:rPr>
                <w:rFonts w:ascii="Tahoma" w:hAnsi="Tahoma" w:cs="Tahoma"/>
                <w:sz w:val="24"/>
                <w:szCs w:val="24"/>
              </w:rPr>
              <w:t>Kanal</w:t>
            </w:r>
            <w:proofErr w:type="spellEnd"/>
          </w:p>
        </w:tc>
      </w:tr>
      <w:tr w:rsidR="00F24772" w:rsidRPr="00F24772" w:rsidTr="006142A1">
        <w:tc>
          <w:tcPr>
            <w:tcW w:w="3060" w:type="dxa"/>
          </w:tcPr>
          <w:p w:rsidR="00F24772" w:rsidRPr="00AB03CF" w:rsidRDefault="00F24772" w:rsidP="00AB03CF">
            <w:pPr>
              <w:jc w:val="both"/>
              <w:rPr>
                <w:rFonts w:ascii="Tahoma" w:hAnsi="Tahoma" w:cs="Tahoma"/>
                <w:sz w:val="24"/>
                <w:szCs w:val="24"/>
              </w:rPr>
            </w:pPr>
            <w:r w:rsidRPr="00AB03CF">
              <w:rPr>
                <w:rFonts w:ascii="Tahoma" w:hAnsi="Tahoma" w:cs="Tahoma"/>
                <w:sz w:val="24"/>
                <w:szCs w:val="24"/>
              </w:rPr>
              <w:t>Transfer to legal heirs (at the demise as a member)</w:t>
            </w:r>
          </w:p>
        </w:tc>
        <w:tc>
          <w:tcPr>
            <w:tcW w:w="1266" w:type="dxa"/>
          </w:tcPr>
          <w:p w:rsidR="00F24772" w:rsidRPr="00AB03CF" w:rsidRDefault="00F24772" w:rsidP="00AB03CF">
            <w:pPr>
              <w:jc w:val="center"/>
              <w:rPr>
                <w:rFonts w:ascii="Tahoma" w:hAnsi="Tahoma" w:cs="Tahoma"/>
                <w:sz w:val="24"/>
                <w:szCs w:val="24"/>
              </w:rPr>
            </w:pPr>
            <w:r w:rsidRPr="00AB03CF">
              <w:rPr>
                <w:rFonts w:ascii="Tahoma" w:hAnsi="Tahoma" w:cs="Tahoma"/>
                <w:sz w:val="24"/>
                <w:szCs w:val="24"/>
              </w:rPr>
              <w:t>Nil</w:t>
            </w:r>
          </w:p>
        </w:tc>
        <w:tc>
          <w:tcPr>
            <w:tcW w:w="1075" w:type="dxa"/>
          </w:tcPr>
          <w:p w:rsidR="00F24772" w:rsidRPr="00AB03CF" w:rsidRDefault="00F24772" w:rsidP="00AB03CF">
            <w:pPr>
              <w:jc w:val="center"/>
              <w:rPr>
                <w:rFonts w:ascii="Tahoma" w:hAnsi="Tahoma" w:cs="Tahoma"/>
                <w:sz w:val="24"/>
                <w:szCs w:val="24"/>
              </w:rPr>
            </w:pPr>
            <w:r w:rsidRPr="00AB03CF">
              <w:rPr>
                <w:rFonts w:ascii="Tahoma" w:hAnsi="Tahoma" w:cs="Tahoma"/>
                <w:sz w:val="24"/>
                <w:szCs w:val="24"/>
              </w:rPr>
              <w:t>Nil</w:t>
            </w:r>
          </w:p>
        </w:tc>
        <w:tc>
          <w:tcPr>
            <w:tcW w:w="1080" w:type="dxa"/>
          </w:tcPr>
          <w:p w:rsidR="00F24772" w:rsidRPr="00AB03CF" w:rsidRDefault="00F24772" w:rsidP="00AB03CF">
            <w:pPr>
              <w:jc w:val="center"/>
              <w:rPr>
                <w:rFonts w:ascii="Tahoma" w:hAnsi="Tahoma" w:cs="Tahoma"/>
                <w:sz w:val="24"/>
                <w:szCs w:val="24"/>
              </w:rPr>
            </w:pPr>
            <w:r w:rsidRPr="00AB03CF">
              <w:rPr>
                <w:rFonts w:ascii="Tahoma" w:hAnsi="Tahoma" w:cs="Tahoma"/>
                <w:sz w:val="24"/>
                <w:szCs w:val="24"/>
              </w:rPr>
              <w:t>Nil</w:t>
            </w:r>
          </w:p>
        </w:tc>
        <w:tc>
          <w:tcPr>
            <w:tcW w:w="1080" w:type="dxa"/>
          </w:tcPr>
          <w:p w:rsidR="00F24772" w:rsidRPr="00AB03CF" w:rsidRDefault="00F24772" w:rsidP="00AB03CF">
            <w:pPr>
              <w:jc w:val="center"/>
              <w:rPr>
                <w:rFonts w:ascii="Tahoma" w:hAnsi="Tahoma" w:cs="Tahoma"/>
                <w:sz w:val="24"/>
                <w:szCs w:val="24"/>
              </w:rPr>
            </w:pPr>
            <w:r w:rsidRPr="00AB03CF">
              <w:rPr>
                <w:rFonts w:ascii="Tahoma" w:hAnsi="Tahoma" w:cs="Tahoma"/>
                <w:sz w:val="24"/>
                <w:szCs w:val="24"/>
              </w:rPr>
              <w:t>Nil</w:t>
            </w:r>
          </w:p>
        </w:tc>
        <w:tc>
          <w:tcPr>
            <w:tcW w:w="1097" w:type="dxa"/>
          </w:tcPr>
          <w:p w:rsidR="00F24772" w:rsidRPr="00AB03CF" w:rsidRDefault="00F24772" w:rsidP="00AB03CF">
            <w:pPr>
              <w:jc w:val="center"/>
              <w:rPr>
                <w:rFonts w:ascii="Tahoma" w:hAnsi="Tahoma" w:cs="Tahoma"/>
                <w:sz w:val="24"/>
                <w:szCs w:val="24"/>
              </w:rPr>
            </w:pPr>
            <w:r w:rsidRPr="00AB03CF">
              <w:rPr>
                <w:rFonts w:ascii="Tahoma" w:hAnsi="Tahoma" w:cs="Tahoma"/>
                <w:sz w:val="24"/>
                <w:szCs w:val="24"/>
              </w:rPr>
              <w:t>Nil</w:t>
            </w:r>
          </w:p>
        </w:tc>
      </w:tr>
      <w:tr w:rsidR="00F24772" w:rsidRPr="00F24772" w:rsidTr="006142A1">
        <w:tc>
          <w:tcPr>
            <w:tcW w:w="3060" w:type="dxa"/>
          </w:tcPr>
          <w:p w:rsidR="00F24772" w:rsidRPr="00AB03CF" w:rsidRDefault="00F24772" w:rsidP="00AB03CF">
            <w:pPr>
              <w:jc w:val="both"/>
              <w:rPr>
                <w:rFonts w:ascii="Tahoma" w:hAnsi="Tahoma" w:cs="Tahoma"/>
                <w:sz w:val="24"/>
                <w:szCs w:val="24"/>
              </w:rPr>
            </w:pPr>
            <w:r w:rsidRPr="00AB03CF">
              <w:rPr>
                <w:rFonts w:ascii="Tahoma" w:hAnsi="Tahoma" w:cs="Tahoma"/>
                <w:sz w:val="24"/>
                <w:szCs w:val="24"/>
              </w:rPr>
              <w:t>Transfer during lifetime to legal heirs</w:t>
            </w:r>
          </w:p>
        </w:tc>
        <w:tc>
          <w:tcPr>
            <w:tcW w:w="1266" w:type="dxa"/>
          </w:tcPr>
          <w:p w:rsidR="00F24772" w:rsidRPr="00AB03CF" w:rsidRDefault="00F24772" w:rsidP="00AB03CF">
            <w:pPr>
              <w:jc w:val="center"/>
              <w:rPr>
                <w:rFonts w:ascii="Tahoma" w:hAnsi="Tahoma" w:cs="Tahoma"/>
                <w:sz w:val="24"/>
                <w:szCs w:val="24"/>
              </w:rPr>
            </w:pPr>
            <w:r w:rsidRPr="00AB03CF">
              <w:rPr>
                <w:rFonts w:ascii="Tahoma" w:hAnsi="Tahoma" w:cs="Tahoma"/>
                <w:sz w:val="24"/>
                <w:szCs w:val="24"/>
              </w:rPr>
              <w:t>1,000</w:t>
            </w:r>
          </w:p>
        </w:tc>
        <w:tc>
          <w:tcPr>
            <w:tcW w:w="1075" w:type="dxa"/>
          </w:tcPr>
          <w:p w:rsidR="00F24772" w:rsidRPr="00AB03CF" w:rsidRDefault="00F24772" w:rsidP="00AB03CF">
            <w:pPr>
              <w:jc w:val="center"/>
              <w:rPr>
                <w:rFonts w:ascii="Tahoma" w:hAnsi="Tahoma" w:cs="Tahoma"/>
                <w:sz w:val="24"/>
                <w:szCs w:val="24"/>
              </w:rPr>
            </w:pPr>
            <w:r w:rsidRPr="00AB03CF">
              <w:rPr>
                <w:rFonts w:ascii="Tahoma" w:hAnsi="Tahoma" w:cs="Tahoma"/>
                <w:sz w:val="24"/>
                <w:szCs w:val="24"/>
              </w:rPr>
              <w:t>5,000</w:t>
            </w:r>
          </w:p>
        </w:tc>
        <w:tc>
          <w:tcPr>
            <w:tcW w:w="1080" w:type="dxa"/>
          </w:tcPr>
          <w:p w:rsidR="00F24772" w:rsidRPr="00AB03CF" w:rsidRDefault="00F24772" w:rsidP="00AB03CF">
            <w:pPr>
              <w:jc w:val="center"/>
              <w:rPr>
                <w:rFonts w:ascii="Tahoma" w:hAnsi="Tahoma" w:cs="Tahoma"/>
                <w:sz w:val="24"/>
                <w:szCs w:val="24"/>
              </w:rPr>
            </w:pPr>
            <w:r w:rsidRPr="00AB03CF">
              <w:rPr>
                <w:rFonts w:ascii="Tahoma" w:hAnsi="Tahoma" w:cs="Tahoma"/>
                <w:sz w:val="24"/>
                <w:szCs w:val="24"/>
              </w:rPr>
              <w:t>7,000</w:t>
            </w:r>
          </w:p>
        </w:tc>
        <w:tc>
          <w:tcPr>
            <w:tcW w:w="1080" w:type="dxa"/>
          </w:tcPr>
          <w:p w:rsidR="00F24772" w:rsidRPr="00AB03CF" w:rsidRDefault="00F24772" w:rsidP="00AB03CF">
            <w:pPr>
              <w:jc w:val="center"/>
              <w:rPr>
                <w:rFonts w:ascii="Tahoma" w:hAnsi="Tahoma" w:cs="Tahoma"/>
                <w:sz w:val="24"/>
                <w:szCs w:val="24"/>
              </w:rPr>
            </w:pPr>
            <w:r w:rsidRPr="00AB03CF">
              <w:rPr>
                <w:rFonts w:ascii="Tahoma" w:hAnsi="Tahoma" w:cs="Tahoma"/>
                <w:sz w:val="24"/>
                <w:szCs w:val="24"/>
              </w:rPr>
              <w:t>10,000</w:t>
            </w:r>
          </w:p>
        </w:tc>
        <w:tc>
          <w:tcPr>
            <w:tcW w:w="1097" w:type="dxa"/>
          </w:tcPr>
          <w:p w:rsidR="00F24772" w:rsidRPr="00AB03CF" w:rsidRDefault="00F24772" w:rsidP="00AB03CF">
            <w:pPr>
              <w:jc w:val="center"/>
              <w:rPr>
                <w:rFonts w:ascii="Tahoma" w:hAnsi="Tahoma" w:cs="Tahoma"/>
                <w:sz w:val="24"/>
                <w:szCs w:val="24"/>
              </w:rPr>
            </w:pPr>
            <w:r w:rsidRPr="00AB03CF">
              <w:rPr>
                <w:rFonts w:ascii="Tahoma" w:hAnsi="Tahoma" w:cs="Tahoma"/>
                <w:sz w:val="24"/>
                <w:szCs w:val="24"/>
              </w:rPr>
              <w:t>20,000</w:t>
            </w:r>
          </w:p>
        </w:tc>
      </w:tr>
      <w:tr w:rsidR="00F24772" w:rsidRPr="00F24772" w:rsidTr="006142A1">
        <w:tc>
          <w:tcPr>
            <w:tcW w:w="3060" w:type="dxa"/>
          </w:tcPr>
          <w:p w:rsidR="00F24772" w:rsidRPr="00AB03CF" w:rsidRDefault="00F24772" w:rsidP="00AB03CF">
            <w:pPr>
              <w:jc w:val="both"/>
              <w:rPr>
                <w:rFonts w:ascii="Tahoma" w:hAnsi="Tahoma" w:cs="Tahoma"/>
                <w:sz w:val="24"/>
                <w:szCs w:val="24"/>
              </w:rPr>
            </w:pPr>
            <w:r w:rsidRPr="00AB03CF">
              <w:rPr>
                <w:rFonts w:ascii="Tahoma" w:hAnsi="Tahoma" w:cs="Tahoma"/>
                <w:sz w:val="24"/>
                <w:szCs w:val="24"/>
              </w:rPr>
              <w:t>Transfer to 3rd party through sale (each tran</w:t>
            </w:r>
            <w:r w:rsidR="00AB03CF" w:rsidRPr="00AB03CF">
              <w:rPr>
                <w:rFonts w:ascii="Tahoma" w:hAnsi="Tahoma" w:cs="Tahoma"/>
                <w:sz w:val="24"/>
                <w:szCs w:val="24"/>
              </w:rPr>
              <w:t>sa</w:t>
            </w:r>
            <w:r w:rsidRPr="00AB03CF">
              <w:rPr>
                <w:rFonts w:ascii="Tahoma" w:hAnsi="Tahoma" w:cs="Tahoma"/>
                <w:sz w:val="24"/>
                <w:szCs w:val="24"/>
              </w:rPr>
              <w:t>ction)</w:t>
            </w:r>
          </w:p>
        </w:tc>
        <w:tc>
          <w:tcPr>
            <w:tcW w:w="1266" w:type="dxa"/>
          </w:tcPr>
          <w:p w:rsidR="00F24772" w:rsidRPr="00AB03CF" w:rsidRDefault="00F24772" w:rsidP="00AB03CF">
            <w:pPr>
              <w:jc w:val="center"/>
              <w:rPr>
                <w:rFonts w:ascii="Tahoma" w:hAnsi="Tahoma" w:cs="Tahoma"/>
                <w:sz w:val="24"/>
                <w:szCs w:val="24"/>
              </w:rPr>
            </w:pPr>
            <w:r w:rsidRPr="00AB03CF">
              <w:rPr>
                <w:rFonts w:ascii="Tahoma" w:hAnsi="Tahoma" w:cs="Tahoma"/>
                <w:sz w:val="24"/>
                <w:szCs w:val="24"/>
              </w:rPr>
              <w:t>3,000</w:t>
            </w:r>
          </w:p>
        </w:tc>
        <w:tc>
          <w:tcPr>
            <w:tcW w:w="1075" w:type="dxa"/>
          </w:tcPr>
          <w:p w:rsidR="00F24772" w:rsidRPr="00AB03CF" w:rsidRDefault="00F24772" w:rsidP="00AB03CF">
            <w:pPr>
              <w:jc w:val="center"/>
              <w:rPr>
                <w:rFonts w:ascii="Tahoma" w:hAnsi="Tahoma" w:cs="Tahoma"/>
                <w:sz w:val="24"/>
                <w:szCs w:val="24"/>
              </w:rPr>
            </w:pPr>
            <w:r w:rsidRPr="00AB03CF">
              <w:rPr>
                <w:rFonts w:ascii="Tahoma" w:hAnsi="Tahoma" w:cs="Tahoma"/>
                <w:sz w:val="24"/>
                <w:szCs w:val="24"/>
              </w:rPr>
              <w:t>15,000</w:t>
            </w:r>
          </w:p>
        </w:tc>
        <w:tc>
          <w:tcPr>
            <w:tcW w:w="1080" w:type="dxa"/>
          </w:tcPr>
          <w:p w:rsidR="00F24772" w:rsidRPr="00AB03CF" w:rsidRDefault="00F24772" w:rsidP="00AB03CF">
            <w:pPr>
              <w:jc w:val="center"/>
              <w:rPr>
                <w:rFonts w:ascii="Tahoma" w:hAnsi="Tahoma" w:cs="Tahoma"/>
                <w:sz w:val="24"/>
                <w:szCs w:val="24"/>
              </w:rPr>
            </w:pPr>
            <w:r w:rsidRPr="00AB03CF">
              <w:rPr>
                <w:rFonts w:ascii="Tahoma" w:hAnsi="Tahoma" w:cs="Tahoma"/>
                <w:sz w:val="24"/>
                <w:szCs w:val="24"/>
              </w:rPr>
              <w:t>21,000</w:t>
            </w:r>
          </w:p>
        </w:tc>
        <w:tc>
          <w:tcPr>
            <w:tcW w:w="1080" w:type="dxa"/>
          </w:tcPr>
          <w:p w:rsidR="00F24772" w:rsidRPr="00AB03CF" w:rsidRDefault="00F24772" w:rsidP="00AB03CF">
            <w:pPr>
              <w:jc w:val="center"/>
              <w:rPr>
                <w:rFonts w:ascii="Tahoma" w:hAnsi="Tahoma" w:cs="Tahoma"/>
                <w:sz w:val="24"/>
                <w:szCs w:val="24"/>
              </w:rPr>
            </w:pPr>
            <w:r w:rsidRPr="00AB03CF">
              <w:rPr>
                <w:rFonts w:ascii="Tahoma" w:hAnsi="Tahoma" w:cs="Tahoma"/>
                <w:sz w:val="24"/>
                <w:szCs w:val="24"/>
              </w:rPr>
              <w:t>30,000</w:t>
            </w:r>
          </w:p>
        </w:tc>
        <w:tc>
          <w:tcPr>
            <w:tcW w:w="1097" w:type="dxa"/>
          </w:tcPr>
          <w:p w:rsidR="00F24772" w:rsidRPr="00AB03CF" w:rsidRDefault="00F24772" w:rsidP="00AB03CF">
            <w:pPr>
              <w:jc w:val="center"/>
              <w:rPr>
                <w:rFonts w:ascii="Tahoma" w:hAnsi="Tahoma" w:cs="Tahoma"/>
                <w:sz w:val="24"/>
                <w:szCs w:val="24"/>
              </w:rPr>
            </w:pPr>
            <w:r w:rsidRPr="00AB03CF">
              <w:rPr>
                <w:rFonts w:ascii="Tahoma" w:hAnsi="Tahoma" w:cs="Tahoma"/>
                <w:sz w:val="24"/>
                <w:szCs w:val="24"/>
              </w:rPr>
              <w:t>60,000</w:t>
            </w:r>
          </w:p>
        </w:tc>
      </w:tr>
      <w:tr w:rsidR="00F24772" w:rsidRPr="00F24772" w:rsidTr="006142A1">
        <w:tc>
          <w:tcPr>
            <w:tcW w:w="3060" w:type="dxa"/>
          </w:tcPr>
          <w:p w:rsidR="00F24772" w:rsidRPr="00AB03CF" w:rsidRDefault="00F24772" w:rsidP="00AB03CF">
            <w:pPr>
              <w:jc w:val="both"/>
              <w:rPr>
                <w:rFonts w:ascii="Tahoma" w:hAnsi="Tahoma" w:cs="Tahoma"/>
                <w:sz w:val="24"/>
                <w:szCs w:val="24"/>
              </w:rPr>
            </w:pPr>
            <w:r w:rsidRPr="00AB03CF">
              <w:rPr>
                <w:rFonts w:ascii="Tahoma" w:hAnsi="Tahoma" w:cs="Tahoma"/>
                <w:sz w:val="24"/>
                <w:szCs w:val="24"/>
              </w:rPr>
              <w:t>Transfer of commercial Property</w:t>
            </w:r>
          </w:p>
        </w:tc>
        <w:tc>
          <w:tcPr>
            <w:tcW w:w="1266" w:type="dxa"/>
          </w:tcPr>
          <w:p w:rsidR="00F24772" w:rsidRPr="00AB03CF" w:rsidRDefault="00F24772" w:rsidP="00AB03CF">
            <w:pPr>
              <w:jc w:val="center"/>
              <w:rPr>
                <w:rFonts w:ascii="Tahoma" w:hAnsi="Tahoma" w:cs="Tahoma"/>
                <w:sz w:val="24"/>
                <w:szCs w:val="24"/>
              </w:rPr>
            </w:pPr>
            <w:r w:rsidRPr="00AB03CF">
              <w:rPr>
                <w:rFonts w:ascii="Tahoma" w:hAnsi="Tahoma" w:cs="Tahoma"/>
                <w:sz w:val="24"/>
                <w:szCs w:val="24"/>
              </w:rPr>
              <w:t>20,000</w:t>
            </w:r>
          </w:p>
        </w:tc>
        <w:tc>
          <w:tcPr>
            <w:tcW w:w="1075" w:type="dxa"/>
          </w:tcPr>
          <w:p w:rsidR="00F24772" w:rsidRPr="00AB03CF" w:rsidRDefault="00F24772" w:rsidP="00AB03CF">
            <w:pPr>
              <w:jc w:val="center"/>
              <w:rPr>
                <w:rFonts w:ascii="Tahoma" w:hAnsi="Tahoma" w:cs="Tahoma"/>
                <w:sz w:val="24"/>
                <w:szCs w:val="24"/>
              </w:rPr>
            </w:pPr>
            <w:r w:rsidRPr="00AB03CF">
              <w:rPr>
                <w:rFonts w:ascii="Tahoma" w:hAnsi="Tahoma" w:cs="Tahoma"/>
                <w:sz w:val="24"/>
                <w:szCs w:val="24"/>
              </w:rPr>
              <w:t>100,000</w:t>
            </w:r>
          </w:p>
        </w:tc>
        <w:tc>
          <w:tcPr>
            <w:tcW w:w="1080" w:type="dxa"/>
          </w:tcPr>
          <w:p w:rsidR="00F24772" w:rsidRPr="00AB03CF" w:rsidRDefault="00F24772" w:rsidP="00AB03CF">
            <w:pPr>
              <w:jc w:val="center"/>
              <w:rPr>
                <w:rFonts w:ascii="Tahoma" w:hAnsi="Tahoma" w:cs="Tahoma"/>
                <w:sz w:val="24"/>
                <w:szCs w:val="24"/>
              </w:rPr>
            </w:pPr>
            <w:r w:rsidRPr="00AB03CF">
              <w:rPr>
                <w:rFonts w:ascii="Tahoma" w:hAnsi="Tahoma" w:cs="Tahoma"/>
                <w:sz w:val="24"/>
                <w:szCs w:val="24"/>
              </w:rPr>
              <w:t>140,000</w:t>
            </w:r>
          </w:p>
        </w:tc>
        <w:tc>
          <w:tcPr>
            <w:tcW w:w="1080" w:type="dxa"/>
          </w:tcPr>
          <w:p w:rsidR="00F24772" w:rsidRPr="00AB03CF" w:rsidRDefault="00F24772" w:rsidP="00AB03CF">
            <w:pPr>
              <w:jc w:val="center"/>
              <w:rPr>
                <w:rFonts w:ascii="Tahoma" w:hAnsi="Tahoma" w:cs="Tahoma"/>
                <w:sz w:val="24"/>
                <w:szCs w:val="24"/>
              </w:rPr>
            </w:pPr>
            <w:r w:rsidRPr="00AB03CF">
              <w:rPr>
                <w:rFonts w:ascii="Tahoma" w:hAnsi="Tahoma" w:cs="Tahoma"/>
                <w:sz w:val="24"/>
                <w:szCs w:val="24"/>
              </w:rPr>
              <w:t>200,000</w:t>
            </w:r>
          </w:p>
        </w:tc>
        <w:tc>
          <w:tcPr>
            <w:tcW w:w="1097" w:type="dxa"/>
          </w:tcPr>
          <w:p w:rsidR="00F24772" w:rsidRPr="00AB03CF" w:rsidRDefault="00F24772" w:rsidP="00AB03CF">
            <w:pPr>
              <w:jc w:val="center"/>
              <w:rPr>
                <w:rFonts w:ascii="Tahoma" w:hAnsi="Tahoma" w:cs="Tahoma"/>
                <w:sz w:val="24"/>
                <w:szCs w:val="24"/>
              </w:rPr>
            </w:pPr>
            <w:r w:rsidRPr="00AB03CF">
              <w:rPr>
                <w:rFonts w:ascii="Tahoma" w:hAnsi="Tahoma" w:cs="Tahoma"/>
                <w:sz w:val="24"/>
                <w:szCs w:val="24"/>
              </w:rPr>
              <w:t>400,000</w:t>
            </w:r>
          </w:p>
        </w:tc>
      </w:tr>
    </w:tbl>
    <w:p w:rsidR="00F24772" w:rsidRPr="00F24772" w:rsidRDefault="00F24772" w:rsidP="00AB03CF">
      <w:pPr>
        <w:ind w:left="720" w:hanging="720"/>
        <w:jc w:val="both"/>
        <w:rPr>
          <w:rFonts w:ascii="Tahoma" w:hAnsi="Tahoma" w:cs="Tahoma"/>
          <w:sz w:val="24"/>
          <w:szCs w:val="24"/>
        </w:rPr>
      </w:pPr>
    </w:p>
    <w:p w:rsidR="00F24772" w:rsidRPr="00AB03CF" w:rsidRDefault="00F24772" w:rsidP="00AB03CF">
      <w:pPr>
        <w:pStyle w:val="ListParagraph"/>
        <w:numPr>
          <w:ilvl w:val="0"/>
          <w:numId w:val="1"/>
        </w:numPr>
        <w:ind w:hanging="720"/>
        <w:jc w:val="both"/>
        <w:rPr>
          <w:rFonts w:ascii="Tahoma" w:hAnsi="Tahoma" w:cs="Tahoma"/>
          <w:sz w:val="24"/>
          <w:szCs w:val="24"/>
        </w:rPr>
      </w:pPr>
      <w:r w:rsidRPr="00AB03CF">
        <w:rPr>
          <w:rFonts w:ascii="Tahoma" w:hAnsi="Tahoma" w:cs="Tahoma"/>
          <w:sz w:val="24"/>
          <w:szCs w:val="24"/>
        </w:rPr>
        <w:t xml:space="preserve">All Government dues i.e. Stamp Duty, Capital Value Tax, and other taxes levied by Government from time to time will be applicable to all kinds of transfer of title in respect of houses &amp; commercial units allotted by PGSHF. </w:t>
      </w:r>
    </w:p>
    <w:p w:rsidR="00F24772" w:rsidRPr="00AB03CF" w:rsidRDefault="00F24772" w:rsidP="00AB03CF">
      <w:pPr>
        <w:pStyle w:val="ListParagraph"/>
        <w:numPr>
          <w:ilvl w:val="0"/>
          <w:numId w:val="1"/>
        </w:numPr>
        <w:ind w:hanging="720"/>
        <w:jc w:val="both"/>
        <w:rPr>
          <w:rFonts w:ascii="Tahoma" w:hAnsi="Tahoma" w:cs="Tahoma"/>
          <w:sz w:val="24"/>
          <w:szCs w:val="24"/>
        </w:rPr>
      </w:pPr>
      <w:r w:rsidRPr="00AB03CF">
        <w:rPr>
          <w:rFonts w:ascii="Tahoma" w:hAnsi="Tahoma" w:cs="Tahoma"/>
          <w:sz w:val="24"/>
          <w:szCs w:val="24"/>
        </w:rPr>
        <w:t xml:space="preserve">Transfer of title of house &amp; commercial units of PGSHF may be made through transfer of title in Foundation’s Record, Gift Deed and Registered Sale Deed, after expiry of prescribed period as per clause 17(6) of PGSHF Act, 2004. </w:t>
      </w:r>
    </w:p>
    <w:p w:rsidR="00F24772" w:rsidRPr="00AB03CF" w:rsidRDefault="00F24772" w:rsidP="00AB03CF">
      <w:pPr>
        <w:pStyle w:val="ListParagraph"/>
        <w:numPr>
          <w:ilvl w:val="0"/>
          <w:numId w:val="1"/>
        </w:numPr>
        <w:ind w:hanging="720"/>
        <w:jc w:val="both"/>
        <w:rPr>
          <w:rFonts w:ascii="Tahoma" w:hAnsi="Tahoma" w:cs="Tahoma"/>
          <w:sz w:val="24"/>
          <w:szCs w:val="24"/>
        </w:rPr>
      </w:pPr>
      <w:r w:rsidRPr="00AB03CF">
        <w:rPr>
          <w:rFonts w:ascii="Tahoma" w:hAnsi="Tahoma" w:cs="Tahoma"/>
          <w:sz w:val="24"/>
          <w:szCs w:val="24"/>
        </w:rPr>
        <w:t xml:space="preserve">All subsequent transfers of the allocated houses &amp; commercial units </w:t>
      </w:r>
      <w:proofErr w:type="gramStart"/>
      <w:r w:rsidRPr="00AB03CF">
        <w:rPr>
          <w:rFonts w:ascii="Tahoma" w:hAnsi="Tahoma" w:cs="Tahoma"/>
          <w:sz w:val="24"/>
          <w:szCs w:val="24"/>
        </w:rPr>
        <w:t>be</w:t>
      </w:r>
      <w:proofErr w:type="gramEnd"/>
      <w:r w:rsidRPr="00AB03CF">
        <w:rPr>
          <w:rFonts w:ascii="Tahoma" w:hAnsi="Tahoma" w:cs="Tahoma"/>
          <w:sz w:val="24"/>
          <w:szCs w:val="24"/>
        </w:rPr>
        <w:t xml:space="preserve"> made with the approval of the Foundation, subject to payment of transfer fee as may be determined by the Board. </w:t>
      </w:r>
    </w:p>
    <w:p w:rsidR="00F24772" w:rsidRPr="00AB03CF" w:rsidRDefault="00F24772" w:rsidP="00AB03CF">
      <w:pPr>
        <w:pStyle w:val="ListParagraph"/>
        <w:numPr>
          <w:ilvl w:val="0"/>
          <w:numId w:val="1"/>
        </w:numPr>
        <w:ind w:hanging="720"/>
        <w:jc w:val="both"/>
        <w:rPr>
          <w:rFonts w:ascii="Tahoma" w:hAnsi="Tahoma" w:cs="Tahoma"/>
          <w:sz w:val="24"/>
          <w:szCs w:val="24"/>
        </w:rPr>
      </w:pPr>
      <w:r w:rsidRPr="00AB03CF">
        <w:rPr>
          <w:rFonts w:ascii="Tahoma" w:hAnsi="Tahoma" w:cs="Tahoma"/>
          <w:sz w:val="24"/>
          <w:szCs w:val="24"/>
        </w:rPr>
        <w:t xml:space="preserve">All subsequent transferees of houses &amp; commercial units be bound to comply with the previsions of the PGSHF Act, 2004, Rules and Regulations of the Foundation, wherever applicable. Any reference to a member shall include reference to a subsequent transferee and such other conditions as may be notified by the Foundation from time to time. </w:t>
      </w:r>
    </w:p>
    <w:p w:rsidR="00F24772" w:rsidRPr="00AB03CF" w:rsidRDefault="00F24772" w:rsidP="00AB03CF">
      <w:pPr>
        <w:pStyle w:val="ListParagraph"/>
        <w:numPr>
          <w:ilvl w:val="0"/>
          <w:numId w:val="1"/>
        </w:numPr>
        <w:ind w:hanging="720"/>
        <w:jc w:val="both"/>
        <w:rPr>
          <w:rFonts w:ascii="Tahoma" w:hAnsi="Tahoma" w:cs="Tahoma"/>
          <w:sz w:val="24"/>
          <w:szCs w:val="24"/>
        </w:rPr>
      </w:pPr>
      <w:r w:rsidRPr="00AB03CF">
        <w:rPr>
          <w:rFonts w:ascii="Tahoma" w:hAnsi="Tahoma" w:cs="Tahoma"/>
          <w:sz w:val="24"/>
          <w:szCs w:val="24"/>
        </w:rPr>
        <w:lastRenderedPageBreak/>
        <w:t xml:space="preserve">An owner of houses &amp; commercial units who </w:t>
      </w:r>
      <w:r w:rsidRPr="000E0401">
        <w:rPr>
          <w:rFonts w:ascii="Tahoma" w:hAnsi="Tahoma" w:cs="Tahoma"/>
          <w:b/>
          <w:sz w:val="24"/>
          <w:szCs w:val="24"/>
        </w:rPr>
        <w:t>wants to transfer his title</w:t>
      </w:r>
      <w:r w:rsidRPr="000E0401">
        <w:rPr>
          <w:rFonts w:ascii="Tahoma" w:hAnsi="Tahoma" w:cs="Tahoma"/>
          <w:sz w:val="24"/>
          <w:szCs w:val="24"/>
        </w:rPr>
        <w:t xml:space="preserve"> in PGSHF</w:t>
      </w:r>
      <w:r w:rsidRPr="00AB03CF">
        <w:rPr>
          <w:rFonts w:ascii="Tahoma" w:hAnsi="Tahoma" w:cs="Tahoma"/>
          <w:sz w:val="24"/>
          <w:szCs w:val="24"/>
        </w:rPr>
        <w:t xml:space="preserve"> office will apply to PGSHF on a prescribed form. PGSHF will examine his title, status of dues, and receipt of transfer fee and other Government dues applicable on transfer of title. The Seller and purchaser shall appear before the competent / authorized officer along with two witnesses/ identifiers for putting their signatures and thumb impression / photographs in PGSHF record confirming the transaction. Both the parties (Seller and buyer) will appear along with their CNICs for the purpose of completion of transaction and scanning of photographs/ thumb impression. The competent/ authorized officer after having completed all above formalities will transfer seller’s title to the buyer making an entry to this effect in PGSHF record by issuing a transfer letter to new owner. </w:t>
      </w:r>
    </w:p>
    <w:p w:rsidR="00F24772" w:rsidRPr="00AB03CF" w:rsidRDefault="00F24772" w:rsidP="00AB03CF">
      <w:pPr>
        <w:pStyle w:val="ListParagraph"/>
        <w:numPr>
          <w:ilvl w:val="0"/>
          <w:numId w:val="1"/>
        </w:numPr>
        <w:ind w:hanging="720"/>
        <w:jc w:val="both"/>
        <w:rPr>
          <w:rFonts w:ascii="Tahoma" w:hAnsi="Tahoma" w:cs="Tahoma"/>
          <w:sz w:val="24"/>
          <w:szCs w:val="24"/>
        </w:rPr>
      </w:pPr>
      <w:r w:rsidRPr="00AB03CF">
        <w:rPr>
          <w:rFonts w:ascii="Tahoma" w:hAnsi="Tahoma" w:cs="Tahoma"/>
          <w:sz w:val="24"/>
          <w:szCs w:val="24"/>
        </w:rPr>
        <w:t xml:space="preserve">An owner of house &amp; commercial </w:t>
      </w:r>
      <w:proofErr w:type="gramStart"/>
      <w:r w:rsidRPr="00AB03CF">
        <w:rPr>
          <w:rFonts w:ascii="Tahoma" w:hAnsi="Tahoma" w:cs="Tahoma"/>
          <w:sz w:val="24"/>
          <w:szCs w:val="24"/>
        </w:rPr>
        <w:t>units</w:t>
      </w:r>
      <w:proofErr w:type="gramEnd"/>
      <w:r w:rsidRPr="00AB03CF">
        <w:rPr>
          <w:rFonts w:ascii="Tahoma" w:hAnsi="Tahoma" w:cs="Tahoma"/>
          <w:sz w:val="24"/>
          <w:szCs w:val="24"/>
        </w:rPr>
        <w:t xml:space="preserve"> who wants to transfer his title through </w:t>
      </w:r>
      <w:r w:rsidRPr="000E0401">
        <w:rPr>
          <w:rFonts w:ascii="Tahoma" w:hAnsi="Tahoma" w:cs="Tahoma"/>
          <w:b/>
          <w:sz w:val="24"/>
          <w:szCs w:val="24"/>
        </w:rPr>
        <w:t xml:space="preserve">Registered Sale Deed </w:t>
      </w:r>
      <w:proofErr w:type="spellStart"/>
      <w:r w:rsidRPr="000E0401">
        <w:rPr>
          <w:rFonts w:ascii="Tahoma" w:hAnsi="Tahoma" w:cs="Tahoma"/>
          <w:b/>
          <w:sz w:val="24"/>
          <w:szCs w:val="24"/>
        </w:rPr>
        <w:t>or</w:t>
      </w:r>
      <w:proofErr w:type="spellEnd"/>
      <w:r w:rsidRPr="000E0401">
        <w:rPr>
          <w:rFonts w:ascii="Tahoma" w:hAnsi="Tahoma" w:cs="Tahoma"/>
          <w:b/>
          <w:sz w:val="24"/>
          <w:szCs w:val="24"/>
        </w:rPr>
        <w:t xml:space="preserve"> Gift Deed</w:t>
      </w:r>
      <w:r w:rsidRPr="00AB03CF">
        <w:rPr>
          <w:rFonts w:ascii="Tahoma" w:hAnsi="Tahoma" w:cs="Tahoma"/>
          <w:sz w:val="24"/>
          <w:szCs w:val="24"/>
        </w:rPr>
        <w:t xml:space="preserve">, will apply to PGSHF on a prescribed form. PGSHF will examine his title, status of dues, and receipt of transfer fee. The seller and purchaser shall appear before the competent/ authorized officer for putting their signatures and thumb impressions / photographs in PGSHF record confirming the transaction. The competent / authorized officer after having completed all above formalities will issue NOC allowing owner to transfer his title. The purchaser will get registered a Sale Deed </w:t>
      </w:r>
      <w:proofErr w:type="spellStart"/>
      <w:r w:rsidRPr="00AB03CF">
        <w:rPr>
          <w:rFonts w:ascii="Tahoma" w:hAnsi="Tahoma" w:cs="Tahoma"/>
          <w:sz w:val="24"/>
          <w:szCs w:val="24"/>
        </w:rPr>
        <w:t>or</w:t>
      </w:r>
      <w:proofErr w:type="spellEnd"/>
      <w:r w:rsidRPr="00AB03CF">
        <w:rPr>
          <w:rFonts w:ascii="Tahoma" w:hAnsi="Tahoma" w:cs="Tahoma"/>
          <w:sz w:val="24"/>
          <w:szCs w:val="24"/>
        </w:rPr>
        <w:t xml:space="preserve"> Gift Deed in his </w:t>
      </w:r>
      <w:proofErr w:type="spellStart"/>
      <w:r w:rsidRPr="00AB03CF">
        <w:rPr>
          <w:rFonts w:ascii="Tahoma" w:hAnsi="Tahoma" w:cs="Tahoma"/>
          <w:sz w:val="24"/>
          <w:szCs w:val="24"/>
        </w:rPr>
        <w:t>favour</w:t>
      </w:r>
      <w:proofErr w:type="spellEnd"/>
      <w:r w:rsidRPr="00AB03CF">
        <w:rPr>
          <w:rFonts w:ascii="Tahoma" w:hAnsi="Tahoma" w:cs="Tahoma"/>
          <w:sz w:val="24"/>
          <w:szCs w:val="24"/>
        </w:rPr>
        <w:t xml:space="preserve"> by presenting such NOC to sub-Registered / quarters concerned. He will submit original/ attested copy of registered Sale Deed/ Gift Deed to PGSHF which will record transaction of transfer in its record </w:t>
      </w:r>
      <w:proofErr w:type="gramStart"/>
      <w:r w:rsidRPr="00AB03CF">
        <w:rPr>
          <w:rFonts w:ascii="Tahoma" w:hAnsi="Tahoma" w:cs="Tahoma"/>
          <w:sz w:val="24"/>
          <w:szCs w:val="24"/>
        </w:rPr>
        <w:t>an</w:t>
      </w:r>
      <w:proofErr w:type="gramEnd"/>
      <w:r w:rsidRPr="00AB03CF">
        <w:rPr>
          <w:rFonts w:ascii="Tahoma" w:hAnsi="Tahoma" w:cs="Tahoma"/>
          <w:sz w:val="24"/>
          <w:szCs w:val="24"/>
        </w:rPr>
        <w:t xml:space="preserve"> grant membership to new owner after receipt of Membership Fee, if any, and completion of certain formalities. </w:t>
      </w:r>
    </w:p>
    <w:p w:rsidR="00F24772" w:rsidRPr="00AB03CF" w:rsidRDefault="00F24772" w:rsidP="00AB03CF">
      <w:pPr>
        <w:pStyle w:val="ListParagraph"/>
        <w:numPr>
          <w:ilvl w:val="0"/>
          <w:numId w:val="1"/>
        </w:numPr>
        <w:ind w:hanging="720"/>
        <w:jc w:val="both"/>
        <w:rPr>
          <w:rFonts w:ascii="Tahoma" w:hAnsi="Tahoma" w:cs="Tahoma"/>
          <w:sz w:val="24"/>
          <w:szCs w:val="24"/>
        </w:rPr>
      </w:pPr>
      <w:r w:rsidRPr="00AB03CF">
        <w:rPr>
          <w:rFonts w:ascii="Tahoma" w:hAnsi="Tahoma" w:cs="Tahoma"/>
          <w:sz w:val="24"/>
          <w:szCs w:val="24"/>
        </w:rPr>
        <w:t xml:space="preserve">In case of death of owner of house, his/her successors will get a Legal Heirs/succession Certificate from the competent Court of Law and submit the same to PGSHF to make necessary entry to this effect in its record. After which a transfer letter to successors of deceased will be issued. </w:t>
      </w:r>
    </w:p>
    <w:p w:rsidR="00F24772" w:rsidRPr="00AB03CF" w:rsidRDefault="00F24772" w:rsidP="00AB03CF">
      <w:pPr>
        <w:pStyle w:val="ListParagraph"/>
        <w:numPr>
          <w:ilvl w:val="0"/>
          <w:numId w:val="1"/>
        </w:numPr>
        <w:ind w:hanging="720"/>
        <w:jc w:val="both"/>
        <w:rPr>
          <w:rFonts w:ascii="Tahoma" w:hAnsi="Tahoma" w:cs="Tahoma"/>
          <w:sz w:val="24"/>
          <w:szCs w:val="24"/>
        </w:rPr>
      </w:pPr>
      <w:r w:rsidRPr="00AB03CF">
        <w:rPr>
          <w:rFonts w:ascii="Tahoma" w:hAnsi="Tahoma" w:cs="Tahoma"/>
          <w:sz w:val="24"/>
          <w:szCs w:val="24"/>
        </w:rPr>
        <w:t xml:space="preserve">No alteration of house in a scheme shall be </w:t>
      </w:r>
      <w:proofErr w:type="gramStart"/>
      <w:r w:rsidRPr="00AB03CF">
        <w:rPr>
          <w:rFonts w:ascii="Tahoma" w:hAnsi="Tahoma" w:cs="Tahoma"/>
          <w:sz w:val="24"/>
          <w:szCs w:val="24"/>
        </w:rPr>
        <w:t>made/allowed</w:t>
      </w:r>
      <w:proofErr w:type="gramEnd"/>
      <w:r w:rsidRPr="00AB03CF">
        <w:rPr>
          <w:rFonts w:ascii="Tahoma" w:hAnsi="Tahoma" w:cs="Tahoma"/>
          <w:sz w:val="24"/>
          <w:szCs w:val="24"/>
        </w:rPr>
        <w:t xml:space="preserve"> without the approval of the Foundation. </w:t>
      </w:r>
    </w:p>
    <w:p w:rsidR="00F24772" w:rsidRPr="00AB03CF" w:rsidRDefault="00F24772" w:rsidP="00AB03CF">
      <w:pPr>
        <w:pStyle w:val="ListParagraph"/>
        <w:numPr>
          <w:ilvl w:val="0"/>
          <w:numId w:val="1"/>
        </w:numPr>
        <w:ind w:hanging="720"/>
        <w:jc w:val="both"/>
        <w:rPr>
          <w:rFonts w:ascii="Tahoma" w:hAnsi="Tahoma" w:cs="Tahoma"/>
          <w:sz w:val="24"/>
          <w:szCs w:val="24"/>
        </w:rPr>
      </w:pPr>
      <w:r w:rsidRPr="00AB03CF">
        <w:rPr>
          <w:rFonts w:ascii="Tahoma" w:hAnsi="Tahoma" w:cs="Tahoma"/>
          <w:sz w:val="24"/>
          <w:szCs w:val="24"/>
        </w:rPr>
        <w:t xml:space="preserve">No residential unit in a scheme shall be allowed to be converted into a commercial unit. </w:t>
      </w:r>
    </w:p>
    <w:p w:rsidR="00F24772" w:rsidRPr="00AB03CF" w:rsidRDefault="00F24772" w:rsidP="00AB03CF">
      <w:pPr>
        <w:pStyle w:val="ListParagraph"/>
        <w:numPr>
          <w:ilvl w:val="0"/>
          <w:numId w:val="1"/>
        </w:numPr>
        <w:ind w:hanging="720"/>
        <w:jc w:val="both"/>
        <w:rPr>
          <w:rFonts w:ascii="Tahoma" w:hAnsi="Tahoma" w:cs="Tahoma"/>
          <w:sz w:val="24"/>
          <w:szCs w:val="24"/>
        </w:rPr>
      </w:pPr>
      <w:r w:rsidRPr="00AB03CF">
        <w:rPr>
          <w:rFonts w:ascii="Tahoma" w:hAnsi="Tahoma" w:cs="Tahoma"/>
          <w:sz w:val="24"/>
          <w:szCs w:val="24"/>
        </w:rPr>
        <w:t xml:space="preserve">All applications of transfer of house along with </w:t>
      </w:r>
      <w:proofErr w:type="spellStart"/>
      <w:r w:rsidRPr="00AB03CF">
        <w:rPr>
          <w:rFonts w:ascii="Tahoma" w:hAnsi="Tahoma" w:cs="Tahoma"/>
          <w:sz w:val="24"/>
          <w:szCs w:val="24"/>
        </w:rPr>
        <w:t>annextures</w:t>
      </w:r>
      <w:proofErr w:type="spellEnd"/>
      <w:r w:rsidRPr="00AB03CF">
        <w:rPr>
          <w:rFonts w:ascii="Tahoma" w:hAnsi="Tahoma" w:cs="Tahoma"/>
          <w:sz w:val="24"/>
          <w:szCs w:val="24"/>
        </w:rPr>
        <w:t xml:space="preserve"> shall be submitted to Director (Estate &amp; Land). </w:t>
      </w:r>
    </w:p>
    <w:p w:rsidR="00F24772" w:rsidRPr="00AB03CF" w:rsidRDefault="00F24772" w:rsidP="00AB03CF">
      <w:pPr>
        <w:pStyle w:val="ListParagraph"/>
        <w:numPr>
          <w:ilvl w:val="0"/>
          <w:numId w:val="1"/>
        </w:numPr>
        <w:ind w:hanging="720"/>
        <w:jc w:val="both"/>
        <w:rPr>
          <w:rFonts w:ascii="Tahoma" w:hAnsi="Tahoma" w:cs="Tahoma"/>
          <w:sz w:val="24"/>
          <w:szCs w:val="24"/>
        </w:rPr>
      </w:pPr>
      <w:r w:rsidRPr="00AB03CF">
        <w:rPr>
          <w:rFonts w:ascii="Tahoma" w:hAnsi="Tahoma" w:cs="Tahoma"/>
          <w:sz w:val="24"/>
          <w:szCs w:val="24"/>
        </w:rPr>
        <w:t xml:space="preserve">The transfer application shall be sent to concerned section i.e. Deputy Director (Estate) same day after entry in the appropriate register. </w:t>
      </w:r>
    </w:p>
    <w:p w:rsidR="00F24772" w:rsidRPr="00AB03CF" w:rsidRDefault="00F24772" w:rsidP="00AB03CF">
      <w:pPr>
        <w:pStyle w:val="ListParagraph"/>
        <w:numPr>
          <w:ilvl w:val="0"/>
          <w:numId w:val="1"/>
        </w:numPr>
        <w:ind w:hanging="720"/>
        <w:jc w:val="both"/>
        <w:rPr>
          <w:rFonts w:ascii="Tahoma" w:hAnsi="Tahoma" w:cs="Tahoma"/>
          <w:sz w:val="24"/>
          <w:szCs w:val="24"/>
        </w:rPr>
      </w:pPr>
      <w:r w:rsidRPr="00AB03CF">
        <w:rPr>
          <w:rFonts w:ascii="Tahoma" w:hAnsi="Tahoma" w:cs="Tahoma"/>
          <w:sz w:val="24"/>
          <w:szCs w:val="24"/>
        </w:rPr>
        <w:t xml:space="preserve">The concerned Deputy Director shall verify the ownership/entitlement from record within four (4) days. </w:t>
      </w:r>
    </w:p>
    <w:p w:rsidR="00F24772" w:rsidRPr="00AB03CF" w:rsidRDefault="00F24772" w:rsidP="00AB03CF">
      <w:pPr>
        <w:pStyle w:val="ListParagraph"/>
        <w:numPr>
          <w:ilvl w:val="0"/>
          <w:numId w:val="1"/>
        </w:numPr>
        <w:ind w:hanging="720"/>
        <w:jc w:val="both"/>
        <w:rPr>
          <w:rFonts w:ascii="Tahoma" w:hAnsi="Tahoma" w:cs="Tahoma"/>
          <w:sz w:val="24"/>
          <w:szCs w:val="24"/>
        </w:rPr>
      </w:pPr>
      <w:r w:rsidRPr="00AB03CF">
        <w:rPr>
          <w:rFonts w:ascii="Tahoma" w:hAnsi="Tahoma" w:cs="Tahoma"/>
          <w:sz w:val="24"/>
          <w:szCs w:val="24"/>
        </w:rPr>
        <w:t xml:space="preserve">Therefore, the case shall be forwarded to Deputy Director (Finance) for the clearance of payment of Government’s/PGSHF dues. </w:t>
      </w:r>
    </w:p>
    <w:p w:rsidR="00F24772" w:rsidRPr="00AB03CF" w:rsidRDefault="00F24772" w:rsidP="00AB03CF">
      <w:pPr>
        <w:pStyle w:val="ListParagraph"/>
        <w:numPr>
          <w:ilvl w:val="0"/>
          <w:numId w:val="1"/>
        </w:numPr>
        <w:ind w:hanging="720"/>
        <w:jc w:val="both"/>
        <w:rPr>
          <w:rFonts w:ascii="Tahoma" w:hAnsi="Tahoma" w:cs="Tahoma"/>
          <w:sz w:val="24"/>
          <w:szCs w:val="24"/>
        </w:rPr>
      </w:pPr>
      <w:r w:rsidRPr="00AB03CF">
        <w:rPr>
          <w:rFonts w:ascii="Tahoma" w:hAnsi="Tahoma" w:cs="Tahoma"/>
          <w:sz w:val="24"/>
          <w:szCs w:val="24"/>
        </w:rPr>
        <w:lastRenderedPageBreak/>
        <w:t xml:space="preserve">After verification of record and payment of the dues, Deputy Director (Estate) shall give the date to both the parties (seller and purchaser) </w:t>
      </w:r>
      <w:proofErr w:type="spellStart"/>
      <w:r w:rsidRPr="00AB03CF">
        <w:rPr>
          <w:rFonts w:ascii="Tahoma" w:hAnsi="Tahoma" w:cs="Tahoma"/>
          <w:sz w:val="24"/>
          <w:szCs w:val="24"/>
        </w:rPr>
        <w:t>alongwith</w:t>
      </w:r>
      <w:proofErr w:type="spellEnd"/>
      <w:r w:rsidRPr="00AB03CF">
        <w:rPr>
          <w:rFonts w:ascii="Tahoma" w:hAnsi="Tahoma" w:cs="Tahoma"/>
          <w:sz w:val="24"/>
          <w:szCs w:val="24"/>
        </w:rPr>
        <w:t xml:space="preserve"> witnesses, and identifier for signature/thumb impressions. </w:t>
      </w:r>
    </w:p>
    <w:p w:rsidR="00F24772" w:rsidRPr="00AB03CF" w:rsidRDefault="00F24772" w:rsidP="00AB03CF">
      <w:pPr>
        <w:pStyle w:val="ListParagraph"/>
        <w:numPr>
          <w:ilvl w:val="0"/>
          <w:numId w:val="1"/>
        </w:numPr>
        <w:ind w:hanging="720"/>
        <w:jc w:val="both"/>
        <w:rPr>
          <w:rFonts w:ascii="Tahoma" w:hAnsi="Tahoma" w:cs="Tahoma"/>
          <w:sz w:val="24"/>
          <w:szCs w:val="24"/>
        </w:rPr>
      </w:pPr>
      <w:r w:rsidRPr="00AB03CF">
        <w:rPr>
          <w:rFonts w:ascii="Tahoma" w:hAnsi="Tahoma" w:cs="Tahoma"/>
          <w:sz w:val="24"/>
          <w:szCs w:val="24"/>
        </w:rPr>
        <w:t xml:space="preserve">Both the parties shall appear before Director (Estate &amp; Land) for signatures/thumb impressions on requisite documents. </w:t>
      </w:r>
    </w:p>
    <w:p w:rsidR="00F24772" w:rsidRPr="00AB03CF" w:rsidRDefault="00F24772" w:rsidP="00AB03CF">
      <w:pPr>
        <w:pStyle w:val="ListParagraph"/>
        <w:numPr>
          <w:ilvl w:val="0"/>
          <w:numId w:val="1"/>
        </w:numPr>
        <w:ind w:hanging="720"/>
        <w:jc w:val="both"/>
        <w:rPr>
          <w:rFonts w:ascii="Tahoma" w:hAnsi="Tahoma" w:cs="Tahoma"/>
          <w:sz w:val="24"/>
          <w:szCs w:val="24"/>
        </w:rPr>
      </w:pPr>
      <w:r w:rsidRPr="00AB03CF">
        <w:rPr>
          <w:rFonts w:ascii="Tahoma" w:hAnsi="Tahoma" w:cs="Tahoma"/>
          <w:sz w:val="24"/>
          <w:szCs w:val="24"/>
        </w:rPr>
        <w:t xml:space="preserve">The requisite documents shall then be forwarded to Director (IT) for scanning/taking of thumb impression and photographs. </w:t>
      </w:r>
    </w:p>
    <w:p w:rsidR="00F24772" w:rsidRPr="00AB03CF" w:rsidRDefault="00F24772" w:rsidP="00AB03CF">
      <w:pPr>
        <w:pStyle w:val="ListParagraph"/>
        <w:numPr>
          <w:ilvl w:val="0"/>
          <w:numId w:val="1"/>
        </w:numPr>
        <w:ind w:hanging="720"/>
        <w:jc w:val="both"/>
        <w:rPr>
          <w:rFonts w:ascii="Tahoma" w:hAnsi="Tahoma" w:cs="Tahoma"/>
          <w:sz w:val="24"/>
          <w:szCs w:val="24"/>
        </w:rPr>
      </w:pPr>
      <w:r w:rsidRPr="00AB03CF">
        <w:rPr>
          <w:rFonts w:ascii="Tahoma" w:hAnsi="Tahoma" w:cs="Tahoma"/>
          <w:sz w:val="24"/>
          <w:szCs w:val="24"/>
        </w:rPr>
        <w:t xml:space="preserve">Director (Estate &amp; Land) will submit the case for approval of transfer to the Managing Director through Executive Director (Admin &amp; Finance). </w:t>
      </w:r>
    </w:p>
    <w:p w:rsidR="007B7113" w:rsidRDefault="00F24772" w:rsidP="00AB03CF">
      <w:pPr>
        <w:pStyle w:val="ListParagraph"/>
        <w:numPr>
          <w:ilvl w:val="0"/>
          <w:numId w:val="1"/>
        </w:numPr>
        <w:ind w:hanging="720"/>
        <w:jc w:val="both"/>
        <w:rPr>
          <w:rFonts w:ascii="Tahoma" w:hAnsi="Tahoma" w:cs="Tahoma"/>
          <w:sz w:val="24"/>
          <w:szCs w:val="24"/>
        </w:rPr>
      </w:pPr>
      <w:r w:rsidRPr="00AB03CF">
        <w:rPr>
          <w:rFonts w:ascii="Tahoma" w:hAnsi="Tahoma" w:cs="Tahoma"/>
          <w:sz w:val="24"/>
          <w:szCs w:val="24"/>
        </w:rPr>
        <w:t xml:space="preserve">After approval by Managing Director, Director (Estate &amp; Land) will issue transfer letter in </w:t>
      </w:r>
      <w:proofErr w:type="spellStart"/>
      <w:r w:rsidRPr="00AB03CF">
        <w:rPr>
          <w:rFonts w:ascii="Tahoma" w:hAnsi="Tahoma" w:cs="Tahoma"/>
          <w:sz w:val="24"/>
          <w:szCs w:val="24"/>
        </w:rPr>
        <w:t>favour</w:t>
      </w:r>
      <w:proofErr w:type="spellEnd"/>
      <w:r w:rsidRPr="00AB03CF">
        <w:rPr>
          <w:rFonts w:ascii="Tahoma" w:hAnsi="Tahoma" w:cs="Tahoma"/>
          <w:sz w:val="24"/>
          <w:szCs w:val="24"/>
        </w:rPr>
        <w:t xml:space="preserve"> of new purchaser.</w:t>
      </w:r>
    </w:p>
    <w:p w:rsidR="000E0401" w:rsidRDefault="000E0401" w:rsidP="000E0401">
      <w:pPr>
        <w:pStyle w:val="ListParagraph"/>
        <w:jc w:val="both"/>
        <w:rPr>
          <w:rFonts w:ascii="Tahoma" w:hAnsi="Tahoma" w:cs="Tahoma"/>
          <w:sz w:val="24"/>
          <w:szCs w:val="24"/>
        </w:rPr>
      </w:pPr>
    </w:p>
    <w:p w:rsidR="004B4C2B" w:rsidRDefault="004B4C2B" w:rsidP="000E0401">
      <w:pPr>
        <w:pStyle w:val="ListParagraph"/>
        <w:jc w:val="both"/>
        <w:rPr>
          <w:rFonts w:ascii="Tahoma" w:hAnsi="Tahoma" w:cs="Tahoma"/>
          <w:sz w:val="24"/>
          <w:szCs w:val="24"/>
        </w:rPr>
      </w:pPr>
    </w:p>
    <w:p w:rsidR="004B4C2B" w:rsidRDefault="004B4C2B" w:rsidP="000E0401">
      <w:pPr>
        <w:pStyle w:val="ListParagraph"/>
        <w:jc w:val="both"/>
        <w:rPr>
          <w:rFonts w:ascii="Tahoma" w:hAnsi="Tahoma" w:cs="Tahoma"/>
          <w:sz w:val="24"/>
          <w:szCs w:val="24"/>
        </w:rPr>
      </w:pPr>
    </w:p>
    <w:p w:rsidR="004B4C2B" w:rsidRDefault="004B4C2B" w:rsidP="000E0401">
      <w:pPr>
        <w:pStyle w:val="ListParagraph"/>
        <w:jc w:val="both"/>
        <w:rPr>
          <w:rFonts w:ascii="Tahoma" w:hAnsi="Tahoma" w:cs="Tahoma"/>
          <w:sz w:val="24"/>
          <w:szCs w:val="24"/>
        </w:rPr>
      </w:pPr>
    </w:p>
    <w:p w:rsidR="000E0401" w:rsidRPr="000E0401" w:rsidRDefault="003A6C25" w:rsidP="004B4C2B">
      <w:pPr>
        <w:pStyle w:val="ListParagraph"/>
        <w:ind w:left="5040"/>
        <w:jc w:val="center"/>
        <w:rPr>
          <w:rFonts w:ascii="Tahoma" w:hAnsi="Tahoma" w:cs="Tahoma"/>
          <w:b/>
          <w:sz w:val="24"/>
          <w:szCs w:val="24"/>
        </w:rPr>
      </w:pPr>
      <w:r>
        <w:rPr>
          <w:rFonts w:ascii="Tahoma" w:hAnsi="Tahoma" w:cs="Tahoma"/>
          <w:b/>
          <w:sz w:val="24"/>
          <w:szCs w:val="24"/>
        </w:rPr>
        <w:t>MANAGING DIRECTOR</w:t>
      </w:r>
      <w:r w:rsidR="000E0401" w:rsidRPr="000E0401">
        <w:rPr>
          <w:rFonts w:ascii="Tahoma" w:hAnsi="Tahoma" w:cs="Tahoma"/>
          <w:b/>
          <w:sz w:val="24"/>
          <w:szCs w:val="24"/>
        </w:rPr>
        <w:t>,</w:t>
      </w:r>
    </w:p>
    <w:p w:rsidR="000E0401" w:rsidRDefault="000E0401" w:rsidP="004B4C2B">
      <w:pPr>
        <w:pStyle w:val="ListParagraph"/>
        <w:ind w:left="5040"/>
        <w:jc w:val="center"/>
        <w:rPr>
          <w:rFonts w:ascii="Tahoma" w:hAnsi="Tahoma" w:cs="Tahoma"/>
          <w:b/>
          <w:sz w:val="24"/>
          <w:szCs w:val="24"/>
        </w:rPr>
      </w:pPr>
      <w:r w:rsidRPr="000E0401">
        <w:rPr>
          <w:rFonts w:ascii="Tahoma" w:hAnsi="Tahoma" w:cs="Tahoma"/>
          <w:b/>
          <w:sz w:val="24"/>
          <w:szCs w:val="24"/>
        </w:rPr>
        <w:t>PGSHF</w:t>
      </w:r>
    </w:p>
    <w:p w:rsidR="004B4C2B" w:rsidRPr="007D126A" w:rsidRDefault="007D126A" w:rsidP="004B4C2B">
      <w:pPr>
        <w:pStyle w:val="ListParagraph"/>
        <w:ind w:left="5040"/>
        <w:jc w:val="center"/>
        <w:rPr>
          <w:rFonts w:ascii="Tahoma" w:hAnsi="Tahoma" w:cs="Tahoma"/>
          <w:i/>
          <w:sz w:val="24"/>
          <w:szCs w:val="24"/>
        </w:rPr>
      </w:pPr>
      <w:r w:rsidRPr="007D126A">
        <w:rPr>
          <w:rFonts w:ascii="Tahoma" w:hAnsi="Tahoma" w:cs="Tahoma"/>
          <w:i/>
          <w:sz w:val="24"/>
          <w:szCs w:val="24"/>
        </w:rPr>
        <w:t>Approved on</w:t>
      </w:r>
      <w:r w:rsidR="004B4C2B" w:rsidRPr="007D126A">
        <w:rPr>
          <w:rFonts w:ascii="Tahoma" w:hAnsi="Tahoma" w:cs="Tahoma"/>
          <w:i/>
          <w:sz w:val="24"/>
          <w:szCs w:val="24"/>
        </w:rPr>
        <w:t xml:space="preserve"> 26.02.2011</w:t>
      </w:r>
    </w:p>
    <w:sectPr w:rsidR="004B4C2B" w:rsidRPr="007D126A" w:rsidSect="007B71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522E6"/>
    <w:multiLevelType w:val="hybridMultilevel"/>
    <w:tmpl w:val="16F89B56"/>
    <w:lvl w:ilvl="0" w:tplc="F21CE4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CBB5E04"/>
    <w:multiLevelType w:val="hybridMultilevel"/>
    <w:tmpl w:val="0B4A5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7C19B5"/>
    <w:multiLevelType w:val="hybridMultilevel"/>
    <w:tmpl w:val="06543532"/>
    <w:lvl w:ilvl="0" w:tplc="DF9634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B5303F"/>
    <w:multiLevelType w:val="hybridMultilevel"/>
    <w:tmpl w:val="5E3A72FA"/>
    <w:lvl w:ilvl="0" w:tplc="F21CE4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F24772"/>
    <w:rsid w:val="000E0401"/>
    <w:rsid w:val="003A6C25"/>
    <w:rsid w:val="004B4C2B"/>
    <w:rsid w:val="006142A1"/>
    <w:rsid w:val="007B7113"/>
    <w:rsid w:val="007D126A"/>
    <w:rsid w:val="00AB03CF"/>
    <w:rsid w:val="00E526BF"/>
    <w:rsid w:val="00F24772"/>
    <w:rsid w:val="00F64E89"/>
    <w:rsid w:val="00FF73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1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47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2477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834</Words>
  <Characters>4758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Delol\</dc:creator>
  <cp:keywords/>
  <dc:description/>
  <cp:lastModifiedBy>Delol\</cp:lastModifiedBy>
  <cp:revision>2</cp:revision>
  <dcterms:created xsi:type="dcterms:W3CDTF">2019-11-25T19:47:00Z</dcterms:created>
  <dcterms:modified xsi:type="dcterms:W3CDTF">2019-11-25T19:47:00Z</dcterms:modified>
</cp:coreProperties>
</file>